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CBC0" w14:textId="77777777" w:rsidR="007B7B2C" w:rsidRPr="00253805" w:rsidRDefault="007B7B2C">
      <w:pPr>
        <w:rPr>
          <w:rFonts w:ascii="Tahoma" w:hAnsi="Tahoma" w:cs="Tahoma"/>
          <w:color w:val="000000" w:themeColor="text1"/>
          <w:sz w:val="21"/>
          <w:szCs w:val="21"/>
        </w:rPr>
      </w:pPr>
    </w:p>
    <w:p w14:paraId="768A5B97" w14:textId="77777777" w:rsidR="007B7B2C" w:rsidRPr="00253805" w:rsidRDefault="007B7B2C">
      <w:pPr>
        <w:rPr>
          <w:rFonts w:ascii="Tahoma" w:hAnsi="Tahoma" w:cs="Tahoma"/>
          <w:color w:val="000000" w:themeColor="text1"/>
          <w:sz w:val="21"/>
          <w:szCs w:val="21"/>
        </w:rPr>
      </w:pPr>
    </w:p>
    <w:p w14:paraId="34E89DB4" w14:textId="77777777" w:rsidR="007B7B2C" w:rsidRPr="00253805" w:rsidRDefault="007B7B2C">
      <w:pPr>
        <w:rPr>
          <w:rFonts w:ascii="Tahoma" w:hAnsi="Tahoma" w:cs="Tahoma"/>
          <w:color w:val="000000" w:themeColor="text1"/>
          <w:sz w:val="21"/>
          <w:szCs w:val="21"/>
        </w:rPr>
      </w:pPr>
    </w:p>
    <w:p w14:paraId="5AF6C0F4" w14:textId="77777777" w:rsidR="007B7B2C" w:rsidRPr="00253805" w:rsidRDefault="007B7B2C">
      <w:pPr>
        <w:rPr>
          <w:rFonts w:ascii="Tahoma" w:hAnsi="Tahoma" w:cs="Tahoma"/>
          <w:color w:val="000000" w:themeColor="text1"/>
          <w:sz w:val="21"/>
          <w:szCs w:val="21"/>
        </w:rPr>
      </w:pPr>
    </w:p>
    <w:p w14:paraId="4755442E" w14:textId="77777777" w:rsidR="007B7B2C" w:rsidRPr="00253805" w:rsidRDefault="007B7B2C">
      <w:pPr>
        <w:rPr>
          <w:rFonts w:ascii="Tahoma" w:hAnsi="Tahoma" w:cs="Tahoma"/>
          <w:color w:val="000000" w:themeColor="text1"/>
          <w:sz w:val="21"/>
          <w:szCs w:val="21"/>
        </w:rPr>
      </w:pPr>
    </w:p>
    <w:p w14:paraId="2D257600" w14:textId="77777777" w:rsidR="007B7B2C" w:rsidRPr="000618FF" w:rsidRDefault="00FF275F">
      <w:pPr>
        <w:pStyle w:val="Heading1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0618FF">
        <w:rPr>
          <w:rFonts w:ascii="Tahoma" w:hAnsi="Tahoma" w:cs="Tahoma"/>
          <w:b/>
          <w:color w:val="000000" w:themeColor="text1"/>
          <w:sz w:val="32"/>
          <w:szCs w:val="21"/>
        </w:rPr>
        <w:t>CIRCULAR</w:t>
      </w:r>
    </w:p>
    <w:p w14:paraId="112C96F3" w14:textId="77777777" w:rsidR="007B7B2C" w:rsidRPr="00253805" w:rsidRDefault="007B7B2C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76A79D8C" w14:textId="77777777" w:rsidR="0042722E" w:rsidRPr="00253805" w:rsidRDefault="0042722E" w:rsidP="00E34576">
      <w:pPr>
        <w:spacing w:line="36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175409AF" w14:textId="77FAF204" w:rsidR="003B02E5" w:rsidRPr="00253805" w:rsidRDefault="00450ACC" w:rsidP="00E34576">
      <w:pPr>
        <w:spacing w:line="36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53805">
        <w:rPr>
          <w:rFonts w:ascii="Tahoma" w:hAnsi="Tahoma" w:cs="Tahoma"/>
          <w:color w:val="000000" w:themeColor="text1"/>
          <w:sz w:val="21"/>
          <w:szCs w:val="21"/>
        </w:rPr>
        <w:t>Intimation is being given to all the Employees</w:t>
      </w:r>
      <w:r w:rsidR="00515CC8">
        <w:rPr>
          <w:rFonts w:ascii="Tahoma" w:hAnsi="Tahoma" w:cs="Tahoma"/>
          <w:color w:val="000000" w:themeColor="text1"/>
          <w:sz w:val="21"/>
          <w:szCs w:val="21"/>
        </w:rPr>
        <w:t xml:space="preserve"> /Ex-Employees</w:t>
      </w:r>
      <w:r w:rsidRPr="00253805">
        <w:rPr>
          <w:rFonts w:ascii="Tahoma" w:hAnsi="Tahoma" w:cs="Tahoma"/>
          <w:color w:val="000000" w:themeColor="text1"/>
          <w:sz w:val="21"/>
          <w:szCs w:val="21"/>
        </w:rPr>
        <w:t xml:space="preserve"> of </w:t>
      </w:r>
      <w:r w:rsidR="0046037E" w:rsidRPr="00253805">
        <w:rPr>
          <w:rFonts w:ascii="Tahoma" w:hAnsi="Tahoma" w:cs="Tahoma"/>
          <w:color w:val="000000" w:themeColor="text1"/>
          <w:sz w:val="21"/>
          <w:szCs w:val="21"/>
        </w:rPr>
        <w:t>Hughes Communications India Private Limited</w:t>
      </w:r>
      <w:r w:rsidR="0044398E" w:rsidRPr="00253805">
        <w:rPr>
          <w:rFonts w:ascii="Tahoma" w:hAnsi="Tahoma" w:cs="Tahoma"/>
          <w:color w:val="000000" w:themeColor="text1"/>
          <w:sz w:val="21"/>
          <w:szCs w:val="21"/>
        </w:rPr>
        <w:t>,</w:t>
      </w:r>
      <w:r w:rsidR="0046037E" w:rsidRPr="00253805">
        <w:rPr>
          <w:rFonts w:ascii="Tahoma" w:hAnsi="Tahoma" w:cs="Tahoma"/>
          <w:color w:val="000000" w:themeColor="text1"/>
          <w:sz w:val="21"/>
          <w:szCs w:val="21"/>
        </w:rPr>
        <w:t xml:space="preserve">  HCIL Comtel Private Limited and Hughes Global Education India Private Limited</w:t>
      </w:r>
      <w:r w:rsidR="00D4720C" w:rsidRPr="00253805">
        <w:rPr>
          <w:rFonts w:ascii="Tahoma" w:hAnsi="Tahoma" w:cs="Tahoma"/>
          <w:color w:val="000000" w:themeColor="text1"/>
          <w:sz w:val="21"/>
          <w:szCs w:val="21"/>
        </w:rPr>
        <w:t>,</w:t>
      </w:r>
      <w:r w:rsidR="001C651D" w:rsidRPr="00253805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23143A" w:rsidRPr="00253805">
        <w:rPr>
          <w:rFonts w:ascii="Tahoma" w:hAnsi="Tahoma" w:cs="Tahoma"/>
          <w:color w:val="000000" w:themeColor="text1"/>
          <w:sz w:val="21"/>
          <w:szCs w:val="21"/>
        </w:rPr>
        <w:t xml:space="preserve">for making </w:t>
      </w:r>
      <w:r w:rsidR="008B2924" w:rsidRPr="00253805">
        <w:rPr>
          <w:rFonts w:ascii="Tahoma" w:hAnsi="Tahoma" w:cs="Tahoma"/>
          <w:color w:val="000000" w:themeColor="text1"/>
          <w:sz w:val="21"/>
          <w:szCs w:val="21"/>
        </w:rPr>
        <w:t xml:space="preserve">compliances </w:t>
      </w:r>
      <w:r w:rsidR="003B02E5" w:rsidRPr="00253805">
        <w:rPr>
          <w:rFonts w:ascii="Tahoma" w:hAnsi="Tahoma" w:cs="Tahoma"/>
          <w:color w:val="000000" w:themeColor="text1"/>
          <w:sz w:val="21"/>
          <w:szCs w:val="21"/>
        </w:rPr>
        <w:t xml:space="preserve">as per </w:t>
      </w:r>
      <w:r w:rsidR="001C651D" w:rsidRPr="00253805">
        <w:rPr>
          <w:rFonts w:ascii="Tahoma" w:hAnsi="Tahoma" w:cs="Tahoma"/>
          <w:color w:val="000000" w:themeColor="text1"/>
          <w:sz w:val="21"/>
          <w:szCs w:val="21"/>
        </w:rPr>
        <w:t>the Employees’ Provident Funds and Miscellaneous Provisions Act, 1952</w:t>
      </w:r>
      <w:r w:rsidR="008B2924" w:rsidRPr="00253805">
        <w:rPr>
          <w:rFonts w:ascii="Tahoma" w:hAnsi="Tahoma" w:cs="Tahoma"/>
          <w:color w:val="000000" w:themeColor="text1"/>
          <w:sz w:val="21"/>
          <w:szCs w:val="21"/>
        </w:rPr>
        <w:t xml:space="preserve"> and scheme framed thereunder</w:t>
      </w:r>
      <w:r w:rsidR="000F3F99" w:rsidRPr="00253805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0F3F99" w:rsidRPr="00253805">
        <w:rPr>
          <w:rFonts w:ascii="Tahoma" w:hAnsi="Tahoma" w:cs="Tahoma"/>
          <w:b/>
          <w:color w:val="000000" w:themeColor="text1"/>
          <w:sz w:val="21"/>
          <w:szCs w:val="21"/>
        </w:rPr>
        <w:t>(PF Act)</w:t>
      </w:r>
      <w:r w:rsidR="003B02E5" w:rsidRPr="00253805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="004A1621" w:rsidRPr="00253805">
        <w:rPr>
          <w:rFonts w:ascii="Tahoma" w:hAnsi="Tahoma" w:cs="Tahoma"/>
          <w:color w:val="000000" w:themeColor="text1"/>
          <w:sz w:val="21"/>
          <w:szCs w:val="21"/>
        </w:rPr>
        <w:t xml:space="preserve">w.e.f. July 1, 2022 </w:t>
      </w:r>
      <w:r w:rsidR="00816295" w:rsidRPr="00253805">
        <w:rPr>
          <w:rFonts w:ascii="Tahoma" w:hAnsi="Tahoma" w:cs="Tahoma"/>
          <w:color w:val="000000" w:themeColor="text1"/>
          <w:sz w:val="21"/>
          <w:szCs w:val="21"/>
        </w:rPr>
        <w:t>(contributions for the month of July 2022 payable on or before 15</w:t>
      </w:r>
      <w:r w:rsidR="00816295" w:rsidRPr="00253805">
        <w:rPr>
          <w:rFonts w:ascii="Tahoma" w:hAnsi="Tahoma" w:cs="Tahoma"/>
          <w:color w:val="000000" w:themeColor="text1"/>
          <w:sz w:val="21"/>
          <w:szCs w:val="21"/>
          <w:vertAlign w:val="superscript"/>
        </w:rPr>
        <w:t>th</w:t>
      </w:r>
      <w:r w:rsidR="00816295" w:rsidRPr="00253805">
        <w:rPr>
          <w:rFonts w:ascii="Tahoma" w:hAnsi="Tahoma" w:cs="Tahoma"/>
          <w:color w:val="000000" w:themeColor="text1"/>
          <w:sz w:val="21"/>
          <w:szCs w:val="21"/>
        </w:rPr>
        <w:t xml:space="preserve"> of August 2022)</w:t>
      </w:r>
      <w:r w:rsidR="00C341BB" w:rsidRPr="00253805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="003B02E5" w:rsidRPr="00253805">
        <w:rPr>
          <w:rFonts w:ascii="Tahoma" w:hAnsi="Tahoma" w:cs="Tahoma"/>
          <w:color w:val="000000" w:themeColor="text1"/>
          <w:sz w:val="21"/>
          <w:szCs w:val="21"/>
        </w:rPr>
        <w:t xml:space="preserve">the contributions </w:t>
      </w:r>
      <w:r w:rsidR="000F3F99" w:rsidRPr="00253805">
        <w:rPr>
          <w:rFonts w:ascii="Tahoma" w:hAnsi="Tahoma" w:cs="Tahoma"/>
          <w:color w:val="000000" w:themeColor="text1"/>
          <w:sz w:val="21"/>
          <w:szCs w:val="21"/>
        </w:rPr>
        <w:t>under PF Act,</w:t>
      </w:r>
      <w:r w:rsidR="00177358" w:rsidRPr="00253805">
        <w:rPr>
          <w:rFonts w:ascii="Tahoma" w:hAnsi="Tahoma" w:cs="Tahoma"/>
          <w:color w:val="000000" w:themeColor="text1"/>
          <w:sz w:val="21"/>
          <w:szCs w:val="21"/>
        </w:rPr>
        <w:t xml:space="preserve"> will be deposited </w:t>
      </w:r>
      <w:r w:rsidR="003B02E5" w:rsidRPr="00253805">
        <w:rPr>
          <w:rFonts w:ascii="Tahoma" w:hAnsi="Tahoma" w:cs="Tahoma"/>
          <w:color w:val="000000" w:themeColor="text1"/>
          <w:sz w:val="21"/>
          <w:szCs w:val="21"/>
        </w:rPr>
        <w:t>under following code numbers maintain with Regional Provident Fund Commissioner, Regional Office, DELHI [WEST], EPFO Complex, Plot No. 23,Sector-23, Dwarka, New Delhi – 110077</w:t>
      </w:r>
      <w:r w:rsidR="0019649E" w:rsidRPr="00253805">
        <w:rPr>
          <w:rFonts w:ascii="Tahoma" w:hAnsi="Tahoma" w:cs="Tahoma"/>
          <w:color w:val="000000" w:themeColor="text1"/>
          <w:sz w:val="21"/>
          <w:szCs w:val="21"/>
        </w:rPr>
        <w:t xml:space="preserve"> and no contribution will be deposited with Hughes Communications India Limited Employees Provident Fund Trust.</w:t>
      </w:r>
    </w:p>
    <w:p w14:paraId="0E0441F0" w14:textId="77777777" w:rsidR="000207E9" w:rsidRPr="00253805" w:rsidRDefault="000207E9" w:rsidP="00C5124C">
      <w:pPr>
        <w:spacing w:line="276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546252FA" w14:textId="77777777" w:rsidR="000207E9" w:rsidRPr="00253805" w:rsidRDefault="000207E9" w:rsidP="00E34576">
      <w:pPr>
        <w:spacing w:line="36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53805">
        <w:rPr>
          <w:rFonts w:ascii="Tahoma" w:hAnsi="Tahoma" w:cs="Tahoma"/>
          <w:color w:val="000000" w:themeColor="text1"/>
          <w:sz w:val="21"/>
          <w:szCs w:val="21"/>
        </w:rPr>
        <w:t xml:space="preserve">The Provident Fund accumulations lying with Hughes Communications India Limited Employees Provident Fund Trust will also be transferred </w:t>
      </w:r>
      <w:r w:rsidR="00C5124C" w:rsidRPr="00253805">
        <w:rPr>
          <w:rFonts w:ascii="Tahoma" w:hAnsi="Tahoma" w:cs="Tahoma"/>
          <w:color w:val="000000" w:themeColor="text1"/>
          <w:sz w:val="21"/>
          <w:szCs w:val="21"/>
        </w:rPr>
        <w:t>i</w:t>
      </w:r>
      <w:r w:rsidRPr="00253805">
        <w:rPr>
          <w:rFonts w:ascii="Tahoma" w:hAnsi="Tahoma" w:cs="Tahoma"/>
          <w:color w:val="000000" w:themeColor="text1"/>
          <w:sz w:val="21"/>
          <w:szCs w:val="21"/>
        </w:rPr>
        <w:t>n</w:t>
      </w:r>
      <w:r w:rsidR="00C5124C" w:rsidRPr="00253805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253805">
        <w:rPr>
          <w:rFonts w:ascii="Tahoma" w:hAnsi="Tahoma" w:cs="Tahoma"/>
          <w:color w:val="000000" w:themeColor="text1"/>
          <w:sz w:val="21"/>
          <w:szCs w:val="21"/>
        </w:rPr>
        <w:t>following code number</w:t>
      </w:r>
      <w:r w:rsidR="00C5124C" w:rsidRPr="00253805">
        <w:rPr>
          <w:rFonts w:ascii="Tahoma" w:hAnsi="Tahoma" w:cs="Tahoma"/>
          <w:color w:val="000000" w:themeColor="text1"/>
          <w:sz w:val="21"/>
          <w:szCs w:val="21"/>
        </w:rPr>
        <w:t>s as per direction of Regional Provident Fund Commissioner, Regional Office, DELHI [WEST], EPFO Complex, Plot No. 23,Sector-23, Dwarka, New Delhi – 110077.</w:t>
      </w:r>
    </w:p>
    <w:p w14:paraId="5B1622E6" w14:textId="77777777" w:rsidR="003B02E5" w:rsidRPr="00253805" w:rsidRDefault="003B02E5" w:rsidP="003B02E5">
      <w:pPr>
        <w:spacing w:after="40" w:line="288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91"/>
        <w:gridCol w:w="3117"/>
      </w:tblGrid>
      <w:tr w:rsidR="00253805" w:rsidRPr="00253805" w14:paraId="3CD97C22" w14:textId="77777777" w:rsidTr="00FC2639">
        <w:trPr>
          <w:jc w:val="center"/>
        </w:trPr>
        <w:tc>
          <w:tcPr>
            <w:tcW w:w="4957" w:type="dxa"/>
          </w:tcPr>
          <w:p w14:paraId="7B45C8D6" w14:textId="77777777" w:rsidR="003B02E5" w:rsidRPr="00253805" w:rsidRDefault="003B02E5" w:rsidP="00FC2639">
            <w:pPr>
              <w:spacing w:after="40" w:line="288" w:lineRule="auto"/>
              <w:jc w:val="both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253805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Name of Companies</w:t>
            </w:r>
          </w:p>
        </w:tc>
        <w:tc>
          <w:tcPr>
            <w:tcW w:w="281" w:type="dxa"/>
          </w:tcPr>
          <w:p w14:paraId="3F36C08A" w14:textId="77777777" w:rsidR="003B02E5" w:rsidRPr="00253805" w:rsidRDefault="003B02E5" w:rsidP="00FC2639">
            <w:pPr>
              <w:spacing w:after="40" w:line="288" w:lineRule="auto"/>
              <w:jc w:val="both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117" w:type="dxa"/>
          </w:tcPr>
          <w:p w14:paraId="32853F48" w14:textId="77777777" w:rsidR="003B02E5" w:rsidRPr="00253805" w:rsidRDefault="003B02E5" w:rsidP="00FC2639">
            <w:pPr>
              <w:spacing w:after="40" w:line="288" w:lineRule="auto"/>
              <w:jc w:val="both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253805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Code Number</w:t>
            </w:r>
          </w:p>
        </w:tc>
      </w:tr>
      <w:tr w:rsidR="00253805" w:rsidRPr="00253805" w14:paraId="59822173" w14:textId="77777777" w:rsidTr="00FC2639">
        <w:trPr>
          <w:jc w:val="center"/>
        </w:trPr>
        <w:tc>
          <w:tcPr>
            <w:tcW w:w="4957" w:type="dxa"/>
          </w:tcPr>
          <w:p w14:paraId="7E7BE90F" w14:textId="77777777" w:rsidR="003B02E5" w:rsidRPr="00253805" w:rsidRDefault="003B02E5" w:rsidP="00FC2639">
            <w:pPr>
              <w:spacing w:after="40" w:line="288" w:lineRule="auto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253805">
              <w:rPr>
                <w:rFonts w:ascii="Tahoma" w:hAnsi="Tahoma" w:cs="Tahoma"/>
                <w:color w:val="000000" w:themeColor="text1"/>
                <w:sz w:val="21"/>
                <w:szCs w:val="21"/>
              </w:rPr>
              <w:t>Hughes Communications India Private Limited</w:t>
            </w:r>
          </w:p>
        </w:tc>
        <w:tc>
          <w:tcPr>
            <w:tcW w:w="281" w:type="dxa"/>
          </w:tcPr>
          <w:p w14:paraId="72A8D3F1" w14:textId="77777777" w:rsidR="003B02E5" w:rsidRPr="00253805" w:rsidRDefault="003B02E5" w:rsidP="00FC2639">
            <w:pPr>
              <w:spacing w:after="40" w:line="288" w:lineRule="auto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253805">
              <w:rPr>
                <w:rFonts w:ascii="Tahoma" w:hAnsi="Tahoma" w:cs="Tahoma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3117" w:type="dxa"/>
          </w:tcPr>
          <w:p w14:paraId="51D7A92E" w14:textId="77777777" w:rsidR="003B02E5" w:rsidRPr="00253805" w:rsidRDefault="003B02E5" w:rsidP="00FC2639">
            <w:pPr>
              <w:spacing w:after="40" w:line="288" w:lineRule="auto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253805"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  <w:t>DSNHP0017669000</w:t>
            </w:r>
          </w:p>
        </w:tc>
      </w:tr>
      <w:tr w:rsidR="00253805" w:rsidRPr="00253805" w14:paraId="466C615A" w14:textId="77777777" w:rsidTr="00FC2639">
        <w:trPr>
          <w:jc w:val="center"/>
        </w:trPr>
        <w:tc>
          <w:tcPr>
            <w:tcW w:w="4957" w:type="dxa"/>
          </w:tcPr>
          <w:p w14:paraId="704A2D83" w14:textId="77777777" w:rsidR="003B02E5" w:rsidRPr="00253805" w:rsidRDefault="003B02E5" w:rsidP="00FC2639">
            <w:pPr>
              <w:spacing w:after="40" w:line="288" w:lineRule="auto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253805">
              <w:rPr>
                <w:rFonts w:ascii="Tahoma" w:hAnsi="Tahoma" w:cs="Tahoma"/>
                <w:color w:val="000000" w:themeColor="text1"/>
                <w:sz w:val="21"/>
                <w:szCs w:val="21"/>
              </w:rPr>
              <w:t>HCIL Comtel Private Limited</w:t>
            </w:r>
          </w:p>
        </w:tc>
        <w:tc>
          <w:tcPr>
            <w:tcW w:w="281" w:type="dxa"/>
          </w:tcPr>
          <w:p w14:paraId="68C0FAA4" w14:textId="77777777" w:rsidR="003B02E5" w:rsidRPr="00253805" w:rsidRDefault="003B02E5" w:rsidP="00FC2639">
            <w:pPr>
              <w:spacing w:after="40" w:line="288" w:lineRule="auto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253805">
              <w:rPr>
                <w:rFonts w:ascii="Tahoma" w:hAnsi="Tahoma" w:cs="Tahoma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3117" w:type="dxa"/>
          </w:tcPr>
          <w:p w14:paraId="4E5C4FC0" w14:textId="77777777" w:rsidR="003B02E5" w:rsidRPr="00253805" w:rsidRDefault="003B02E5" w:rsidP="00FC2639">
            <w:pPr>
              <w:spacing w:after="40" w:line="288" w:lineRule="auto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253805">
              <w:rPr>
                <w:rFonts w:ascii="Tahoma" w:hAnsi="Tahoma" w:cs="Tahoma"/>
                <w:color w:val="000000" w:themeColor="text1"/>
                <w:sz w:val="21"/>
                <w:szCs w:val="21"/>
                <w:lang w:val="en-IN"/>
              </w:rPr>
              <w:t>DSNHP0940646000</w:t>
            </w:r>
          </w:p>
        </w:tc>
      </w:tr>
      <w:tr w:rsidR="003B02E5" w:rsidRPr="00253805" w14:paraId="142438AC" w14:textId="77777777" w:rsidTr="00FC2639">
        <w:trPr>
          <w:jc w:val="center"/>
        </w:trPr>
        <w:tc>
          <w:tcPr>
            <w:tcW w:w="4957" w:type="dxa"/>
          </w:tcPr>
          <w:p w14:paraId="46DF830D" w14:textId="77777777" w:rsidR="003B02E5" w:rsidRPr="00253805" w:rsidRDefault="003B02E5" w:rsidP="00FC2639">
            <w:pPr>
              <w:contextualSpacing/>
              <w:mirrorIndents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253805">
              <w:rPr>
                <w:rFonts w:ascii="Tahoma" w:hAnsi="Tahoma" w:cs="Tahoma"/>
                <w:color w:val="000000" w:themeColor="text1"/>
                <w:sz w:val="21"/>
                <w:szCs w:val="21"/>
              </w:rPr>
              <w:t>Hughes Global Education India Private Limited</w:t>
            </w:r>
          </w:p>
        </w:tc>
        <w:tc>
          <w:tcPr>
            <w:tcW w:w="281" w:type="dxa"/>
          </w:tcPr>
          <w:p w14:paraId="07B35CE6" w14:textId="77777777" w:rsidR="003B02E5" w:rsidRPr="00253805" w:rsidRDefault="003B02E5" w:rsidP="00FC2639">
            <w:pPr>
              <w:spacing w:after="40" w:line="288" w:lineRule="auto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253805">
              <w:rPr>
                <w:rFonts w:ascii="Tahoma" w:hAnsi="Tahoma" w:cs="Tahoma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3117" w:type="dxa"/>
          </w:tcPr>
          <w:p w14:paraId="06FF8880" w14:textId="77777777" w:rsidR="003B02E5" w:rsidRPr="00253805" w:rsidRDefault="003B02E5" w:rsidP="00FC2639">
            <w:pPr>
              <w:spacing w:after="40" w:line="288" w:lineRule="auto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253805">
              <w:rPr>
                <w:rFonts w:ascii="Tahoma" w:hAnsi="Tahoma" w:cs="Tahoma"/>
                <w:color w:val="000000" w:themeColor="text1"/>
                <w:sz w:val="21"/>
                <w:szCs w:val="21"/>
                <w:lang w:val="en-IN"/>
              </w:rPr>
              <w:t>DSNHP0940662000</w:t>
            </w:r>
          </w:p>
        </w:tc>
      </w:tr>
    </w:tbl>
    <w:p w14:paraId="4C9ECB5E" w14:textId="77777777" w:rsidR="003B02E5" w:rsidRPr="00253805" w:rsidRDefault="003B02E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02ECA76C" w14:textId="77777777" w:rsidR="003B02E5" w:rsidRPr="00253805" w:rsidRDefault="003B02E5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4BDF9EA5" w14:textId="77777777" w:rsidR="007B7B2C" w:rsidRPr="00253805" w:rsidRDefault="00DB25B3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53805">
        <w:rPr>
          <w:rFonts w:ascii="Tahoma" w:hAnsi="Tahoma" w:cs="Tahoma"/>
          <w:color w:val="000000" w:themeColor="text1"/>
          <w:sz w:val="21"/>
          <w:szCs w:val="21"/>
        </w:rPr>
        <w:t>Please feel free to contact the undersigned, if you need any further information.</w:t>
      </w:r>
    </w:p>
    <w:p w14:paraId="5CD5F390" w14:textId="77777777" w:rsidR="00DB25B3" w:rsidRPr="00253805" w:rsidRDefault="00DB25B3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16EDC111" w14:textId="77777777" w:rsidR="007B7B2C" w:rsidRPr="00253805" w:rsidRDefault="00FF275F">
      <w:pPr>
        <w:pStyle w:val="BodyText"/>
        <w:jc w:val="right"/>
        <w:rPr>
          <w:rFonts w:ascii="Tahoma" w:hAnsi="Tahoma" w:cs="Tahoma"/>
          <w:b/>
          <w:color w:val="000000" w:themeColor="text1"/>
          <w:sz w:val="21"/>
          <w:szCs w:val="21"/>
        </w:rPr>
      </w:pPr>
      <w:proofErr w:type="gramStart"/>
      <w:r w:rsidRPr="00253805">
        <w:rPr>
          <w:rFonts w:ascii="Tahoma" w:hAnsi="Tahoma" w:cs="Tahoma"/>
          <w:b/>
          <w:color w:val="000000" w:themeColor="text1"/>
          <w:sz w:val="21"/>
          <w:szCs w:val="21"/>
        </w:rPr>
        <w:t xml:space="preserve">For  </w:t>
      </w:r>
      <w:r w:rsidR="0037452E" w:rsidRPr="00253805">
        <w:rPr>
          <w:rFonts w:ascii="Tahoma" w:hAnsi="Tahoma" w:cs="Tahoma"/>
          <w:b/>
          <w:color w:val="000000" w:themeColor="text1"/>
          <w:sz w:val="21"/>
          <w:szCs w:val="21"/>
        </w:rPr>
        <w:t>Hughes</w:t>
      </w:r>
      <w:proofErr w:type="gramEnd"/>
      <w:r w:rsidR="0037452E" w:rsidRPr="00253805">
        <w:rPr>
          <w:rFonts w:ascii="Tahoma" w:hAnsi="Tahoma" w:cs="Tahoma"/>
          <w:b/>
          <w:color w:val="000000" w:themeColor="text1"/>
          <w:sz w:val="21"/>
          <w:szCs w:val="21"/>
        </w:rPr>
        <w:t xml:space="preserve"> Communications India Private Limited</w:t>
      </w:r>
    </w:p>
    <w:p w14:paraId="3A147647" w14:textId="77777777" w:rsidR="007B7B2C" w:rsidRPr="00253805" w:rsidRDefault="007B7B2C">
      <w:pPr>
        <w:pStyle w:val="BodyText"/>
        <w:jc w:val="both"/>
        <w:rPr>
          <w:rFonts w:ascii="Tahoma" w:hAnsi="Tahoma" w:cs="Tahoma"/>
          <w:b/>
          <w:color w:val="000000" w:themeColor="text1"/>
          <w:sz w:val="21"/>
          <w:szCs w:val="21"/>
        </w:rPr>
      </w:pPr>
    </w:p>
    <w:p w14:paraId="3E0A581C" w14:textId="77777777" w:rsidR="007B7B2C" w:rsidRPr="00253805" w:rsidRDefault="007B7B2C">
      <w:pPr>
        <w:pStyle w:val="BodyText"/>
        <w:jc w:val="both"/>
        <w:rPr>
          <w:rFonts w:ascii="Tahoma" w:hAnsi="Tahoma" w:cs="Tahoma"/>
          <w:b/>
          <w:color w:val="000000" w:themeColor="text1"/>
          <w:sz w:val="21"/>
          <w:szCs w:val="21"/>
        </w:rPr>
      </w:pPr>
    </w:p>
    <w:p w14:paraId="2DE30D9A" w14:textId="0741C555" w:rsidR="00171E0E" w:rsidRPr="00253805" w:rsidRDefault="00171E0E">
      <w:pPr>
        <w:pStyle w:val="BodyText"/>
        <w:jc w:val="both"/>
        <w:rPr>
          <w:rFonts w:ascii="Tahoma" w:hAnsi="Tahoma" w:cs="Tahoma"/>
          <w:b/>
          <w:color w:val="000000" w:themeColor="text1"/>
          <w:sz w:val="21"/>
          <w:szCs w:val="21"/>
        </w:rPr>
      </w:pPr>
    </w:p>
    <w:p w14:paraId="7A8DA834" w14:textId="77777777" w:rsidR="00171E0E" w:rsidRPr="00253805" w:rsidRDefault="00171E0E" w:rsidP="0037452E">
      <w:pPr>
        <w:pStyle w:val="BodyText"/>
        <w:jc w:val="right"/>
        <w:rPr>
          <w:rFonts w:ascii="Tahoma" w:hAnsi="Tahoma" w:cs="Tahoma"/>
          <w:b/>
          <w:color w:val="000000" w:themeColor="text1"/>
          <w:sz w:val="21"/>
          <w:szCs w:val="21"/>
        </w:rPr>
      </w:pPr>
    </w:p>
    <w:p w14:paraId="277ADC3C" w14:textId="1F276FBA" w:rsidR="0037452E" w:rsidRPr="00253805" w:rsidRDefault="000B135A" w:rsidP="0037452E">
      <w:pPr>
        <w:pStyle w:val="BodyText"/>
        <w:jc w:val="right"/>
        <w:rPr>
          <w:rFonts w:ascii="Tahoma" w:hAnsi="Tahoma" w:cs="Tahoma"/>
          <w:b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color w:val="000000" w:themeColor="text1"/>
          <w:sz w:val="21"/>
          <w:szCs w:val="21"/>
        </w:rPr>
        <w:t>Peyu Gupta</w:t>
      </w:r>
    </w:p>
    <w:p w14:paraId="2F5FC1B0" w14:textId="7EF63D79" w:rsidR="007B7B2C" w:rsidRPr="00253805" w:rsidRDefault="00000000" w:rsidP="001B17FC">
      <w:pPr>
        <w:pStyle w:val="BodyText"/>
        <w:jc w:val="right"/>
        <w:rPr>
          <w:color w:val="000000" w:themeColor="text1"/>
        </w:rPr>
      </w:pPr>
      <w:hyperlink r:id="rId6" w:history="1">
        <w:r w:rsidR="000B135A" w:rsidRPr="008F6C07">
          <w:rPr>
            <w:rStyle w:val="Hyperlink"/>
            <w:rFonts w:ascii="Tahoma" w:hAnsi="Tahoma" w:cs="Tahoma"/>
            <w:b/>
            <w:sz w:val="21"/>
            <w:szCs w:val="21"/>
          </w:rPr>
          <w:t>peyu.gupta@hughes.in</w:t>
        </w:r>
      </w:hyperlink>
      <w:r w:rsidR="00253805" w:rsidRPr="00253805">
        <w:rPr>
          <w:color w:val="000000" w:themeColor="text1"/>
        </w:rPr>
        <w:t xml:space="preserve"> </w:t>
      </w:r>
    </w:p>
    <w:p w14:paraId="07965941" w14:textId="77777777" w:rsidR="00FF275F" w:rsidRPr="00253805" w:rsidRDefault="00FF275F">
      <w:pPr>
        <w:pStyle w:val="BodyText"/>
        <w:jc w:val="both"/>
        <w:rPr>
          <w:rFonts w:ascii="Tahoma" w:hAnsi="Tahoma" w:cs="Tahoma"/>
          <w:b/>
          <w:color w:val="000000" w:themeColor="text1"/>
          <w:sz w:val="21"/>
          <w:szCs w:val="21"/>
        </w:rPr>
      </w:pPr>
    </w:p>
    <w:sectPr w:rsidR="00FF275F" w:rsidRPr="00253805" w:rsidSect="00E34576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21DC1"/>
    <w:multiLevelType w:val="singleLevel"/>
    <w:tmpl w:val="D6145B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94256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CC"/>
    <w:rsid w:val="000207E9"/>
    <w:rsid w:val="000618FF"/>
    <w:rsid w:val="000B135A"/>
    <w:rsid w:val="000F3F99"/>
    <w:rsid w:val="00171E0E"/>
    <w:rsid w:val="00177358"/>
    <w:rsid w:val="0019649E"/>
    <w:rsid w:val="001B17FC"/>
    <w:rsid w:val="001C651D"/>
    <w:rsid w:val="001E78E0"/>
    <w:rsid w:val="001F1601"/>
    <w:rsid w:val="00216EFE"/>
    <w:rsid w:val="00217146"/>
    <w:rsid w:val="0023143A"/>
    <w:rsid w:val="00253805"/>
    <w:rsid w:val="00265AEC"/>
    <w:rsid w:val="0037452E"/>
    <w:rsid w:val="003B02E5"/>
    <w:rsid w:val="003C4A0C"/>
    <w:rsid w:val="0042722E"/>
    <w:rsid w:val="0044398E"/>
    <w:rsid w:val="00450ACC"/>
    <w:rsid w:val="0046037E"/>
    <w:rsid w:val="0049539C"/>
    <w:rsid w:val="004A1621"/>
    <w:rsid w:val="00515CC8"/>
    <w:rsid w:val="005D0EE1"/>
    <w:rsid w:val="00647E5E"/>
    <w:rsid w:val="00767D8E"/>
    <w:rsid w:val="007B7B2C"/>
    <w:rsid w:val="007F7609"/>
    <w:rsid w:val="00816295"/>
    <w:rsid w:val="008B2924"/>
    <w:rsid w:val="00945ECA"/>
    <w:rsid w:val="00954209"/>
    <w:rsid w:val="00991E21"/>
    <w:rsid w:val="009C2F6C"/>
    <w:rsid w:val="00A113E2"/>
    <w:rsid w:val="00A479CB"/>
    <w:rsid w:val="00AA1197"/>
    <w:rsid w:val="00B94D86"/>
    <w:rsid w:val="00C341BB"/>
    <w:rsid w:val="00C5124C"/>
    <w:rsid w:val="00C72D99"/>
    <w:rsid w:val="00D10338"/>
    <w:rsid w:val="00D4720C"/>
    <w:rsid w:val="00DB17BD"/>
    <w:rsid w:val="00DB25B3"/>
    <w:rsid w:val="00E34576"/>
    <w:rsid w:val="00ED7DB0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C4084"/>
  <w15:chartTrackingRefBased/>
  <w15:docId w15:val="{0CBE235F-2947-4527-B7CF-A27D3A4A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right="864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720" w:right="864" w:hanging="720"/>
    </w:pPr>
  </w:style>
  <w:style w:type="paragraph" w:styleId="BodyText">
    <w:name w:val="Body Text"/>
    <w:basedOn w:val="Normal"/>
    <w:semiHidden/>
    <w:rPr>
      <w:sz w:val="28"/>
    </w:rPr>
  </w:style>
  <w:style w:type="table" w:styleId="TableGrid">
    <w:name w:val="Table Grid"/>
    <w:basedOn w:val="TableNormal"/>
    <w:uiPriority w:val="39"/>
    <w:rsid w:val="003B02E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yu.gupta@hughes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B498C-D7C7-47AB-B3F1-1AEF72A9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UNDERTAKINGS</vt:lpstr>
    </vt:vector>
  </TitlesOfParts>
  <Company>D.K.Maik &amp; Co.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UNDERTAKINGS</dc:title>
  <dc:subject/>
  <dc:creator>DKMALIK</dc:creator>
  <cp:keywords/>
  <cp:lastModifiedBy>Shilpa Choudhury</cp:lastModifiedBy>
  <cp:revision>2</cp:revision>
  <dcterms:created xsi:type="dcterms:W3CDTF">2022-07-29T04:03:00Z</dcterms:created>
  <dcterms:modified xsi:type="dcterms:W3CDTF">2022-07-29T04:03:00Z</dcterms:modified>
</cp:coreProperties>
</file>